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378F" w14:textId="77777777" w:rsidR="001A2561" w:rsidRPr="001A2561" w:rsidRDefault="001A2561" w:rsidP="001A2561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48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30"/>
      </w:tblGrid>
      <w:tr w:rsidR="001A2561" w:rsidRPr="00462235" w14:paraId="187D975D" w14:textId="77777777" w:rsidTr="001A2561">
        <w:trPr>
          <w:tblCellSpacing w:w="0" w:type="dxa"/>
        </w:trPr>
        <w:tc>
          <w:tcPr>
            <w:tcW w:w="1276" w:type="dxa"/>
            <w:hideMark/>
          </w:tcPr>
          <w:p w14:paraId="5B6E3945" w14:textId="77777777" w:rsidR="001A2561" w:rsidRPr="00DB2933" w:rsidRDefault="001A2561" w:rsidP="001A2561">
            <w:pPr>
              <w:rPr>
                <w:rFonts w:ascii="Calibri Light" w:eastAsia="Times New Roman" w:hAnsi="Calibri Light" w:cs="Calibri Light"/>
                <w:color w:val="2A2A2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D42421E" w14:textId="77777777" w:rsidR="001A2561" w:rsidRDefault="001A2561" w:rsidP="001A2561">
            <w:pPr>
              <w:ind w:left="-1600" w:firstLine="1600"/>
              <w:jc w:val="center"/>
              <w:rPr>
                <w:rFonts w:ascii="Calibri Light" w:eastAsia="Times New Roman" w:hAnsi="Calibri Light" w:cs="Calibri Light"/>
                <w:b/>
                <w:bCs/>
                <w:color w:val="2A2A2A"/>
                <w:lang w:val="da-DK"/>
              </w:rPr>
            </w:pPr>
            <w:r w:rsidRPr="004C5D0C">
              <w:rPr>
                <w:rFonts w:ascii="Calibri Light" w:eastAsia="Times New Roman" w:hAnsi="Calibri Light" w:cs="Calibri Light"/>
                <w:b/>
                <w:bCs/>
                <w:color w:val="2A2A2A"/>
                <w:lang w:val="da-DK"/>
              </w:rPr>
              <w:t>BETÆNDELSE VED ACHILLESSENEFÆSTET PÅ HÆLKNOGLEN </w:t>
            </w:r>
            <w:r w:rsidRPr="004C5D0C">
              <w:rPr>
                <w:rFonts w:ascii="Calibri Light" w:eastAsia="Times New Roman" w:hAnsi="Calibri Light" w:cs="Calibri Light"/>
                <w:b/>
                <w:bCs/>
                <w:color w:val="2A2A2A"/>
                <w:lang w:val="da-DK"/>
              </w:rPr>
              <w:br/>
              <w:t xml:space="preserve">             </w:t>
            </w:r>
          </w:p>
          <w:p w14:paraId="2E98017B" w14:textId="2F03BBA4" w:rsidR="00754BC9" w:rsidRPr="004C5D0C" w:rsidRDefault="00754BC9" w:rsidP="001A2561">
            <w:pPr>
              <w:ind w:left="-1600" w:firstLine="1600"/>
              <w:jc w:val="center"/>
              <w:rPr>
                <w:rFonts w:ascii="Calibri Light" w:eastAsia="Times New Roman" w:hAnsi="Calibri Light" w:cs="Calibri Light"/>
                <w:b/>
                <w:bCs/>
                <w:color w:val="2A2A2A"/>
                <w:lang w:val="da-DK"/>
              </w:rPr>
            </w:pPr>
          </w:p>
        </w:tc>
      </w:tr>
    </w:tbl>
    <w:p w14:paraId="400CF0E5" w14:textId="77777777" w:rsidR="001A2561" w:rsidRPr="00DB2933" w:rsidRDefault="001A2561" w:rsidP="001A2561">
      <w:pPr>
        <w:spacing w:line="360" w:lineRule="auto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val="da-DK"/>
        </w:rPr>
      </w:pPr>
      <w:r w:rsidRPr="00DB2933">
        <w:rPr>
          <w:rFonts w:ascii="Calibri Light" w:eastAsia="Times New Roman" w:hAnsi="Calibri Light" w:cs="Calibri Light"/>
          <w:b/>
          <w:bCs/>
          <w:sz w:val="20"/>
          <w:szCs w:val="20"/>
          <w:lang w:val="da-DK"/>
        </w:rPr>
        <w:t>Årsag</w:t>
      </w:r>
    </w:p>
    <w:p w14:paraId="0548DB29" w14:textId="77777777" w:rsidR="00F172AA" w:rsidRDefault="00000000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hyperlink r:id="rId4" w:history="1">
        <w:r w:rsidR="001A2561" w:rsidRPr="00DB2933">
          <w:rPr>
            <w:rFonts w:ascii="Calibri Light" w:eastAsia="Times New Roman" w:hAnsi="Calibri Light" w:cs="Calibri Light"/>
            <w:sz w:val="20"/>
            <w:szCs w:val="20"/>
            <w:lang w:val="da-DK"/>
          </w:rPr>
          <w:t>"Betændelse"</w:t>
        </w:r>
        <w:r w:rsidR="00DB2933">
          <w:rPr>
            <w:rFonts w:ascii="Calibri Light" w:eastAsia="Times New Roman" w:hAnsi="Calibri Light" w:cs="Calibri Light"/>
            <w:sz w:val="20"/>
            <w:szCs w:val="20"/>
            <w:lang w:val="da-DK"/>
          </w:rPr>
          <w:t xml:space="preserve"> </w:t>
        </w:r>
        <w:r w:rsidR="001A2561" w:rsidRPr="00DB2933">
          <w:rPr>
            <w:rFonts w:ascii="Calibri Light" w:eastAsia="Times New Roman" w:hAnsi="Calibri Light" w:cs="Calibri Light"/>
            <w:sz w:val="20"/>
            <w:szCs w:val="20"/>
            <w:lang w:val="da-DK"/>
          </w:rPr>
          <w:t>(inflammation)</w:t>
        </w:r>
      </w:hyperlink>
      <w:r w:rsidR="001A2561"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 ved </w:t>
      </w:r>
      <w:proofErr w:type="spellStart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a</w:t>
      </w:r>
      <w:r w:rsidR="001A2561"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chillessenefæstet</w:t>
      </w:r>
      <w:proofErr w:type="spellEnd"/>
      <w:r w:rsidR="001A2561"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på hælknoglen opstår ved gentagne overbelastninger i form af løb og afsæt. </w:t>
      </w:r>
    </w:p>
    <w:p w14:paraId="126D931C" w14:textId="7183D446" w:rsidR="00F172AA" w:rsidRDefault="00F172AA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Tilstanden er dog for de fleste efter 40 års-alderen et udtryk for at senen er begyndende degenereret og derfor ikke kan </w:t>
      </w:r>
    </w:p>
    <w:p w14:paraId="4B825A5B" w14:textId="6D4D1456" w:rsidR="001A2561" w:rsidRPr="00DB2933" w:rsidRDefault="00DB2933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Tilstanden opstår der hvor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val="da-DK"/>
        </w:rPr>
        <w:t>achillessenen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vokser ind i hælbenet, og </w:t>
      </w:r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tilstanden er hyppigt </w:t>
      </w:r>
      <w:proofErr w:type="spellStart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omk</w:t>
      </w:r>
      <w:proofErr w:type="spellEnd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</w:t>
      </w:r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>40-årsalderen</w:t>
      </w:r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og frem, da det ofte er forbundet med en degenerativ</w:t>
      </w:r>
      <w:r w:rsidR="00A06B9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(aldrende)</w:t>
      </w:r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tilstand i </w:t>
      </w:r>
      <w:proofErr w:type="spellStart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achillesnenen</w:t>
      </w:r>
      <w:proofErr w:type="spellEnd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.</w:t>
      </w:r>
      <w:r w:rsidR="001A2561"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br/>
      </w:r>
      <w:r w:rsidR="001A2561"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br/>
      </w:r>
      <w:r w:rsidR="001A2561" w:rsidRPr="00DB2933">
        <w:rPr>
          <w:rFonts w:ascii="Calibri Light" w:eastAsia="Times New Roman" w:hAnsi="Calibri Light" w:cs="Calibri Light"/>
          <w:b/>
          <w:bCs/>
          <w:sz w:val="20"/>
          <w:szCs w:val="20"/>
          <w:lang w:val="da-DK"/>
        </w:rPr>
        <w:t>Symptomer</w:t>
      </w:r>
    </w:p>
    <w:p w14:paraId="0EE13524" w14:textId="411210E4" w:rsidR="001A2561" w:rsidRPr="00DB2933" w:rsidRDefault="001A2561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Smerter ved aktivering af </w:t>
      </w:r>
      <w:proofErr w:type="spellStart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a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chillessenen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(løb og afsæt) og ved 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udspænding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af senen. Der er trykømhed bag på hælknoglen</w:t>
      </w:r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, der er måske en fortykkelse og rødme på bagsiden af hælen hvor </w:t>
      </w:r>
      <w:proofErr w:type="spellStart"/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>achillessenen</w:t>
      </w:r>
      <w:proofErr w:type="spellEnd"/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hæfter</w:t>
      </w:r>
      <w:r w:rsidR="00A06B93">
        <w:rPr>
          <w:rFonts w:ascii="Calibri Light" w:eastAsia="Times New Roman" w:hAnsi="Calibri Light" w:cs="Calibri Light"/>
          <w:sz w:val="20"/>
          <w:szCs w:val="20"/>
          <w:lang w:val="da-DK"/>
        </w:rPr>
        <w:t>.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br/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br/>
      </w:r>
      <w:r w:rsidRPr="004C5D0C">
        <w:rPr>
          <w:rFonts w:ascii="Calibri Light" w:eastAsia="Times New Roman" w:hAnsi="Calibri Light" w:cs="Calibri Light"/>
          <w:b/>
          <w:bCs/>
          <w:sz w:val="20"/>
          <w:szCs w:val="20"/>
          <w:lang w:val="da-DK"/>
        </w:rPr>
        <w:t>Undersøgelse</w:t>
      </w:r>
    </w:p>
    <w:p w14:paraId="7812CAA6" w14:textId="77777777" w:rsidR="00462235" w:rsidRDefault="001A2561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I lette, tidlige tilfælde hvor ømheden er langsomt indsættende uden pludselig forværring, kræves der ikke nødvendigvis lægeundersøgelse. I alle tilfælde, hvor der fornemmes et smæld eller pludselig jagende smerte i senen, bør man straks søge læge for at udelukke en (delvis) </w:t>
      </w:r>
      <w:hyperlink r:id="rId5" w:history="1">
        <w:r w:rsidRPr="00DB2933">
          <w:rPr>
            <w:rFonts w:ascii="Calibri Light" w:eastAsia="Times New Roman" w:hAnsi="Calibri Light" w:cs="Calibri Light"/>
            <w:sz w:val="20"/>
            <w:szCs w:val="20"/>
            <w:lang w:val="da-DK"/>
          </w:rPr>
          <w:t xml:space="preserve">bristning af </w:t>
        </w:r>
        <w:proofErr w:type="spellStart"/>
        <w:r w:rsidR="004C5D0C">
          <w:rPr>
            <w:rFonts w:ascii="Calibri Light" w:eastAsia="Times New Roman" w:hAnsi="Calibri Light" w:cs="Calibri Light"/>
            <w:sz w:val="20"/>
            <w:szCs w:val="20"/>
            <w:lang w:val="da-DK"/>
          </w:rPr>
          <w:t>a</w:t>
        </w:r>
        <w:r w:rsidRPr="00DB2933">
          <w:rPr>
            <w:rFonts w:ascii="Calibri Light" w:eastAsia="Times New Roman" w:hAnsi="Calibri Light" w:cs="Calibri Light"/>
            <w:sz w:val="20"/>
            <w:szCs w:val="20"/>
            <w:lang w:val="da-DK"/>
          </w:rPr>
          <w:t>chillessenefæstet</w:t>
        </w:r>
        <w:proofErr w:type="spellEnd"/>
      </w:hyperlink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. Dette afgøres bedst ved 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ultralydscanning</w:t>
      </w:r>
      <w:proofErr w:type="spellEnd"/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. 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Diagnosen stilles sædvanligvis ved almindelig lægeundersøgelse. I alle tilfælde, hvor forløbet ikke går jævnt fremad, bør der udføres en 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ultralydscanning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. </w:t>
      </w:r>
    </w:p>
    <w:p w14:paraId="24B53324" w14:textId="33C5422F" w:rsidR="004C5D0C" w:rsidRDefault="001A2561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Ved 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ultralydscanning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vil man kunne vurdere </w:t>
      </w:r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en del tilstande, herunder 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omfanget af forandringer i 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senefæstet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: betændelse i senen (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tendinitis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), arvævsdannelse i senen (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tendinosis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), forkalkninger i senen, betændelse af 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senevævet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rundt om senen (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peritendinitis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), 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slimsæksbetændelse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samt (delvise) bristninger og forandringer i knoglen ved </w:t>
      </w:r>
      <w:proofErr w:type="spellStart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senefæstet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af knoglehinden, hvilket ofte er tilfældet hos børn med betændelse ved </w:t>
      </w:r>
      <w:proofErr w:type="spellStart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a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chillessenefæstet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på voksezonen på hælknoglen. 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br/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br/>
      </w:r>
      <w:r w:rsidRPr="004C5D0C">
        <w:rPr>
          <w:rFonts w:ascii="Calibri Light" w:eastAsia="Times New Roman" w:hAnsi="Calibri Light" w:cs="Calibri Light"/>
          <w:b/>
          <w:bCs/>
          <w:sz w:val="20"/>
          <w:szCs w:val="20"/>
          <w:lang w:val="da-DK"/>
        </w:rPr>
        <w:t>Behandling</w:t>
      </w:r>
    </w:p>
    <w:p w14:paraId="74FC0625" w14:textId="77777777" w:rsidR="004C5D0C" w:rsidRDefault="004C5D0C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</w:p>
    <w:p w14:paraId="489E0454" w14:textId="77777777" w:rsidR="00754BC9" w:rsidRDefault="002D266B" w:rsidP="001A2561">
      <w:pPr>
        <w:spacing w:line="360" w:lineRule="auto"/>
        <w:jc w:val="both"/>
        <w:rPr>
          <w:rStyle w:val="normal1"/>
          <w:rFonts w:ascii="Calibri Light" w:hAnsi="Calibri Light" w:cs="Calibri Light"/>
          <w:sz w:val="20"/>
          <w:szCs w:val="20"/>
          <w:lang w:val="da-DK"/>
        </w:rPr>
      </w:pPr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Korrektion af teknik </w:t>
      </w:r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>i</w:t>
      </w:r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 forbindelse med sport og tilpasning af udstyr er </w:t>
      </w:r>
      <w:r w:rsidR="00A06B93">
        <w:rPr>
          <w:rStyle w:val="normal1"/>
          <w:rFonts w:ascii="Calibri Light" w:hAnsi="Calibri Light" w:cs="Calibri Light"/>
          <w:sz w:val="20"/>
          <w:szCs w:val="20"/>
          <w:lang w:val="da-DK"/>
        </w:rPr>
        <w:t>vigtig for</w:t>
      </w:r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 resultatet af genoptræningen. </w:t>
      </w:r>
    </w:p>
    <w:p w14:paraId="5169CB0A" w14:textId="21FB8159" w:rsidR="002D266B" w:rsidRDefault="002D266B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Korrekt ergonomi bør søges i forbindelse med arbejde.  </w:t>
      </w:r>
    </w:p>
    <w:p w14:paraId="65059152" w14:textId="77777777" w:rsidR="00754BC9" w:rsidRDefault="001A2561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Det er afgørende at fodtøjet er i orden</w:t>
      </w:r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, </w:t>
      </w:r>
      <w:proofErr w:type="spellStart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dvs</w:t>
      </w:r>
      <w:proofErr w:type="spellEnd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gode løbesko med stødabsorberende hæl og en ikke for løs hælkappe</w:t>
      </w:r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men </w:t>
      </w:r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gerne </w:t>
      </w:r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en blød hælkappe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. </w:t>
      </w:r>
    </w:p>
    <w:p w14:paraId="2F15EADE" w14:textId="7118F1EA" w:rsidR="002D266B" w:rsidRDefault="001A2561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Man kan aflaste </w:t>
      </w:r>
      <w:proofErr w:type="spellStart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a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chillessenen</w:t>
      </w:r>
      <w:proofErr w:type="spellEnd"/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, og senen ved dens </w:t>
      </w:r>
      <w:proofErr w:type="spellStart"/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>tilhæftning</w:t>
      </w:r>
      <w:proofErr w:type="spellEnd"/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ved at gå i sko med hælforhøjelse</w:t>
      </w:r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(</w:t>
      </w:r>
      <w:proofErr w:type="spellStart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ca</w:t>
      </w:r>
      <w:proofErr w:type="spellEnd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½-1 cm)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, </w:t>
      </w:r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>eller indlægge et lille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hælindlæg i skoen</w:t>
      </w:r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. 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Is</w:t>
      </w:r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>pose</w:t>
      </w:r>
      <w:r w:rsidR="00F172AA">
        <w:rPr>
          <w:rFonts w:ascii="Calibri Light" w:eastAsia="Times New Roman" w:hAnsi="Calibri Light" w:cs="Calibri Light"/>
          <w:sz w:val="20"/>
          <w:szCs w:val="20"/>
          <w:lang w:val="da-DK"/>
        </w:rPr>
        <w:t>behandling</w:t>
      </w:r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(</w:t>
      </w:r>
      <w:r w:rsidR="00F172AA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ispose </w:t>
      </w:r>
      <w:r w:rsidR="00462235">
        <w:rPr>
          <w:rFonts w:ascii="Calibri Light" w:eastAsia="Times New Roman" w:hAnsi="Calibri Light" w:cs="Calibri Light"/>
          <w:sz w:val="20"/>
          <w:szCs w:val="20"/>
          <w:lang w:val="da-DK"/>
        </w:rPr>
        <w:t>pakket ind i et viskest</w:t>
      </w:r>
      <w:r w:rsidR="00F172AA">
        <w:rPr>
          <w:rFonts w:ascii="Calibri Light" w:eastAsia="Times New Roman" w:hAnsi="Calibri Light" w:cs="Calibri Light"/>
          <w:sz w:val="20"/>
          <w:szCs w:val="20"/>
          <w:lang w:val="da-DK"/>
        </w:rPr>
        <w:t>ykke)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kan gentages 20 minutter hver gang man i genoptræningsforløbet fremkalder ømhed ved </w:t>
      </w:r>
      <w:proofErr w:type="spellStart"/>
      <w:r w:rsidR="004C5D0C">
        <w:rPr>
          <w:rFonts w:ascii="Calibri Light" w:eastAsia="Times New Roman" w:hAnsi="Calibri Light" w:cs="Calibri Light"/>
          <w:sz w:val="20"/>
          <w:szCs w:val="20"/>
          <w:lang w:val="da-DK"/>
        </w:rPr>
        <w:t>a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chillessenefæstet</w:t>
      </w:r>
      <w:proofErr w:type="spellEnd"/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. </w:t>
      </w:r>
    </w:p>
    <w:p w14:paraId="6C81AF04" w14:textId="245EF876" w:rsidR="00F172AA" w:rsidRDefault="001A2561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lastRenderedPageBreak/>
        <w:t>Ved udtalte smerter ved almindelig gang kan medicinsk behandling overvejes i form af </w:t>
      </w:r>
      <w:hyperlink r:id="rId6" w:history="1">
        <w:r w:rsidR="004C5D0C">
          <w:rPr>
            <w:rFonts w:ascii="Calibri Light" w:eastAsia="Times New Roman" w:hAnsi="Calibri Light" w:cs="Calibri Light"/>
            <w:sz w:val="20"/>
            <w:szCs w:val="20"/>
            <w:lang w:val="da-DK"/>
          </w:rPr>
          <w:t>anti-inflammatorisk medicin</w:t>
        </w:r>
        <w:r w:rsidRPr="00DB2933">
          <w:rPr>
            <w:rFonts w:ascii="Calibri Light" w:eastAsia="Times New Roman" w:hAnsi="Calibri Light" w:cs="Calibri Light"/>
            <w:sz w:val="20"/>
            <w:szCs w:val="20"/>
            <w:lang w:val="da-DK"/>
          </w:rPr>
          <w:t xml:space="preserve"> i gelform, (</w:t>
        </w:r>
        <w:r w:rsidR="004C5D0C">
          <w:rPr>
            <w:rFonts w:ascii="Calibri Light" w:eastAsia="Times New Roman" w:hAnsi="Calibri Light" w:cs="Calibri Light"/>
            <w:sz w:val="20"/>
            <w:szCs w:val="20"/>
            <w:lang w:val="da-DK"/>
          </w:rPr>
          <w:t xml:space="preserve">Voltaren/Feldengel, </w:t>
        </w:r>
        <w:r w:rsidRPr="00DB2933">
          <w:rPr>
            <w:rFonts w:ascii="Calibri Light" w:eastAsia="Times New Roman" w:hAnsi="Calibri Light" w:cs="Calibri Light"/>
            <w:sz w:val="20"/>
            <w:szCs w:val="20"/>
            <w:lang w:val="da-DK"/>
          </w:rPr>
          <w:t>NSAID</w:t>
        </w:r>
      </w:hyperlink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) i den akutte fase</w:t>
      </w:r>
      <w:r w:rsidR="00F172AA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(max. 7-10 dage</w:t>
      </w:r>
      <w:r w:rsidR="00754BC9">
        <w:rPr>
          <w:rFonts w:ascii="Calibri Light" w:eastAsia="Times New Roman" w:hAnsi="Calibri Light" w:cs="Calibri Light"/>
          <w:sz w:val="20"/>
          <w:szCs w:val="20"/>
          <w:lang w:val="da-DK"/>
        </w:rPr>
        <w:t>)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, men denne behandling er sjældent indiceret i den kroniske fase, da effekten her er beskeden</w:t>
      </w:r>
      <w:r w:rsidR="00A06B9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og kan svække effekten af genoptræningen</w:t>
      </w:r>
      <w:r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. </w:t>
      </w:r>
    </w:p>
    <w:p w14:paraId="4E095DF3" w14:textId="77777777" w:rsidR="00754BC9" w:rsidRDefault="00754BC9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</w:p>
    <w:p w14:paraId="66ADD342" w14:textId="21A4E59C" w:rsidR="00F172AA" w:rsidRDefault="00A06B93" w:rsidP="001A2561">
      <w:pPr>
        <w:spacing w:line="360" w:lineRule="auto"/>
        <w:jc w:val="both"/>
        <w:rPr>
          <w:rStyle w:val="normal1"/>
          <w:rFonts w:ascii="Calibri Light" w:hAnsi="Calibri Light" w:cs="Calibri Light"/>
          <w:sz w:val="20"/>
          <w:szCs w:val="20"/>
          <w:lang w:val="da-DK"/>
        </w:rPr>
      </w:pPr>
      <w:r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NSAID og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val="da-DK"/>
        </w:rPr>
        <w:t>panodil</w:t>
      </w:r>
      <w:proofErr w:type="spellEnd"/>
      <w:r w:rsidR="001A2561"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bør ikke</w:t>
      </w:r>
      <w:r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</w:t>
      </w:r>
      <w:r w:rsidR="001A2561" w:rsidRPr="00DB2933">
        <w:rPr>
          <w:rFonts w:ascii="Calibri Light" w:eastAsia="Times New Roman" w:hAnsi="Calibri Light" w:cs="Calibri Light"/>
          <w:sz w:val="20"/>
          <w:szCs w:val="20"/>
          <w:lang w:val="da-DK"/>
        </w:rPr>
        <w:t>bruges til at fortsætte idrætsaktiviteten</w:t>
      </w:r>
      <w:r w:rsidR="00F172AA">
        <w:rPr>
          <w:rFonts w:ascii="Calibri Light" w:eastAsia="Times New Roman" w:hAnsi="Calibri Light" w:cs="Calibri Light"/>
          <w:sz w:val="20"/>
          <w:szCs w:val="20"/>
          <w:lang w:val="da-DK"/>
        </w:rPr>
        <w:t>!</w:t>
      </w:r>
      <w:r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Dette da det </w:t>
      </w:r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dæmper smerten, således genoptræningen bliver vanskeligere at styre. </w:t>
      </w:r>
    </w:p>
    <w:p w14:paraId="520824BC" w14:textId="77777777" w:rsidR="00A06B93" w:rsidRDefault="00A06B93" w:rsidP="001A2561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</w:p>
    <w:p w14:paraId="56F68770" w14:textId="2B7C1C15" w:rsidR="002D266B" w:rsidRDefault="002D266B" w:rsidP="002D266B">
      <w:pPr>
        <w:spacing w:line="360" w:lineRule="auto"/>
        <w:rPr>
          <w:rStyle w:val="normal1"/>
          <w:rFonts w:ascii="Calibri Light" w:hAnsi="Calibri Light" w:cs="Calibri Light"/>
          <w:sz w:val="20"/>
          <w:szCs w:val="20"/>
          <w:lang w:val="da-DK"/>
        </w:rPr>
      </w:pPr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Injektion af binyrebarkhormon er altid et led i en langvarig genoptræning af en længerevarende skade, og det er afgørende nødvendigt, at genoptræningsforløbet, man iværksætter samtidigt med injektionen, strækker sig over adskillige måneder (ofte 6-18 mdr.) for at nedsætte risikoen for tilbagefald. Dette da senen ikke efter en langvarig skadesperiode kan holde til særlig stor belastning efter kun en kortvarig genoptræningsperiode - heller ikke selv om senen er blevet symptomfri efter injektionen. </w:t>
      </w:r>
    </w:p>
    <w:p w14:paraId="4D321F7B" w14:textId="16EE817C" w:rsidR="00A06B93" w:rsidRDefault="00A06B93" w:rsidP="002D266B">
      <w:pPr>
        <w:spacing w:line="360" w:lineRule="auto"/>
        <w:rPr>
          <w:rStyle w:val="normal1"/>
          <w:rFonts w:ascii="Calibri Light" w:hAnsi="Calibri Light" w:cs="Calibri Light"/>
          <w:sz w:val="20"/>
          <w:szCs w:val="20"/>
          <w:lang w:val="da-DK"/>
        </w:rPr>
      </w:pPr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Langvarige overbelastningsbetingede </w:t>
      </w:r>
      <w:proofErr w:type="spellStart"/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>seneskader</w:t>
      </w:r>
      <w:proofErr w:type="spellEnd"/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 sammenlignes ofte med et isbjerg, da størstedelen af </w:t>
      </w:r>
      <w:proofErr w:type="spellStart"/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>seneforandringerne</w:t>
      </w:r>
      <w:proofErr w:type="spellEnd"/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 er symptomfri og kun de værste "10%" af forandringerne i senen giver symptomer. Når man er symptomfri, kan man derfor forsat have "90%" af de skadesbetingede </w:t>
      </w:r>
      <w:proofErr w:type="spellStart"/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>seneforandringerne</w:t>
      </w:r>
      <w:proofErr w:type="spellEnd"/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, og det er derfor vigtigt, at genoptræningen forsætter i mange måneder efter </w:t>
      </w:r>
      <w:proofErr w:type="gramStart"/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>symptomerne</w:t>
      </w:r>
      <w:proofErr w:type="gramEnd"/>
      <w:r>
        <w:rPr>
          <w:rStyle w:val="normal1"/>
          <w:rFonts w:ascii="Calibri Light" w:hAnsi="Calibri Light" w:cs="Calibri Light"/>
          <w:sz w:val="20"/>
          <w:szCs w:val="20"/>
          <w:lang w:val="da-DK"/>
        </w:rPr>
        <w:t xml:space="preserve"> er svundet, inden senen belastes maksimalt. Ellers vil risikoen for tilbagefald og bristninger øges betydeligt.</w:t>
      </w:r>
    </w:p>
    <w:p w14:paraId="4AB6AA87" w14:textId="77777777" w:rsidR="002D266B" w:rsidRDefault="002D266B" w:rsidP="002D266B">
      <w:pPr>
        <w:spacing w:line="360" w:lineRule="auto"/>
        <w:rPr>
          <w:rStyle w:val="normal1"/>
          <w:rFonts w:ascii="Calibri Light" w:hAnsi="Calibri Light" w:cs="Calibri Light"/>
          <w:sz w:val="20"/>
          <w:szCs w:val="20"/>
          <w:lang w:val="da-DK"/>
        </w:rPr>
      </w:pPr>
    </w:p>
    <w:p w14:paraId="6EC9C76A" w14:textId="77777777" w:rsidR="00A06B93" w:rsidRDefault="00A06B93" w:rsidP="00A06B93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proofErr w:type="spellStart"/>
      <w:r>
        <w:rPr>
          <w:rFonts w:ascii="Calibri Light" w:eastAsia="Times New Roman" w:hAnsi="Calibri Light" w:cs="Calibri Light"/>
          <w:sz w:val="20"/>
          <w:szCs w:val="20"/>
          <w:lang w:val="da-DK"/>
        </w:rPr>
        <w:t>Udspændingsøvelser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hyppigt og dagligt har gavnlig effekt og styrkende øvelser, men IKKE vip på trappe hvor hælen kommer under trappeniveau.</w:t>
      </w:r>
    </w:p>
    <w:p w14:paraId="4DF4161B" w14:textId="77777777" w:rsidR="00A06B93" w:rsidRDefault="00A06B93" w:rsidP="00A06B93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</w:p>
    <w:p w14:paraId="2800F987" w14:textId="02D4EE72" w:rsidR="00A06B93" w:rsidRDefault="00A06B93" w:rsidP="00A06B93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I sjældne tilfælde, når ovenstående behandlinger ikke har effekt og generne fra hælen er for store kan lægen henvise til en ortopædkirurg, for en vurdering af, om man kan </w:t>
      </w:r>
      <w:r>
        <w:rPr>
          <w:rFonts w:ascii="Calibri Light" w:eastAsia="Times New Roman" w:hAnsi="Calibri Light" w:cs="Calibri Light"/>
          <w:sz w:val="20"/>
          <w:szCs w:val="20"/>
          <w:lang w:val="da-DK"/>
        </w:rPr>
        <w:t>operere</w:t>
      </w:r>
      <w:r>
        <w:rPr>
          <w:rFonts w:ascii="Calibri Light" w:eastAsia="Times New Roman" w:hAnsi="Calibri Light" w:cs="Calibri Light"/>
          <w:sz w:val="20"/>
          <w:szCs w:val="20"/>
          <w:lang w:val="da-DK"/>
        </w:rPr>
        <w:t xml:space="preserve"> for tilstanden.</w:t>
      </w:r>
    </w:p>
    <w:p w14:paraId="3DCC306E" w14:textId="77777777" w:rsidR="00A06B93" w:rsidRDefault="00A06B93" w:rsidP="00A06B93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</w:p>
    <w:p w14:paraId="48718337" w14:textId="77777777" w:rsidR="00A06B93" w:rsidRPr="00DB2933" w:rsidRDefault="00A06B93" w:rsidP="00A06B93">
      <w:pPr>
        <w:spacing w:line="360" w:lineRule="auto"/>
        <w:jc w:val="both"/>
        <w:rPr>
          <w:rFonts w:ascii="Calibri Light" w:eastAsia="Times New Roman" w:hAnsi="Calibri Light" w:cs="Calibri Light"/>
          <w:sz w:val="20"/>
          <w:szCs w:val="20"/>
          <w:lang w:val="da-DK"/>
        </w:rPr>
      </w:pPr>
      <w:r>
        <w:rPr>
          <w:rFonts w:ascii="Calibri Light" w:eastAsia="Times New Roman" w:hAnsi="Calibri Light" w:cs="Calibri Light"/>
          <w:sz w:val="20"/>
          <w:szCs w:val="20"/>
          <w:lang w:val="da-DK"/>
        </w:rPr>
        <w:t>De fleste tilstande vil bedres med tiden og med den rette behandling, træning og tålmodighed.</w:t>
      </w:r>
    </w:p>
    <w:p w14:paraId="5CB8EAE3" w14:textId="77777777" w:rsidR="002D266B" w:rsidRDefault="002D266B" w:rsidP="002D266B">
      <w:pPr>
        <w:spacing w:line="360" w:lineRule="auto"/>
        <w:rPr>
          <w:rStyle w:val="normal1"/>
          <w:rFonts w:ascii="Calibri Light" w:hAnsi="Calibri Light" w:cs="Calibri Light"/>
          <w:sz w:val="20"/>
          <w:szCs w:val="20"/>
          <w:lang w:val="da-DK"/>
        </w:rPr>
      </w:pPr>
    </w:p>
    <w:p w14:paraId="3D17EB3E" w14:textId="77777777" w:rsidR="002D266B" w:rsidRDefault="002D266B" w:rsidP="002D266B">
      <w:pPr>
        <w:spacing w:line="360" w:lineRule="auto"/>
        <w:rPr>
          <w:rStyle w:val="normal1"/>
          <w:rFonts w:ascii="Calibri Light" w:hAnsi="Calibri Light" w:cs="Calibri Light"/>
          <w:sz w:val="20"/>
          <w:szCs w:val="20"/>
          <w:lang w:val="da-DK"/>
        </w:rPr>
      </w:pPr>
    </w:p>
    <w:p w14:paraId="2BA6ADC3" w14:textId="77777777" w:rsidR="004C5D0C" w:rsidRDefault="004C5D0C" w:rsidP="004C5D0C">
      <w:pPr>
        <w:rPr>
          <w:rFonts w:ascii="Calibri Light" w:hAnsi="Calibri Light" w:cs="Calibri Light"/>
          <w:sz w:val="20"/>
          <w:szCs w:val="20"/>
          <w:lang w:val="da-DK"/>
        </w:rPr>
      </w:pPr>
    </w:p>
    <w:p w14:paraId="1C95DC33" w14:textId="77777777" w:rsidR="004C5D0C" w:rsidRDefault="004C5D0C" w:rsidP="004C5D0C">
      <w:pPr>
        <w:rPr>
          <w:rFonts w:ascii="Calibri Light" w:hAnsi="Calibri Light" w:cs="Calibri Light"/>
          <w:sz w:val="20"/>
          <w:szCs w:val="20"/>
          <w:lang w:val="da-DK"/>
        </w:rPr>
      </w:pPr>
    </w:p>
    <w:p w14:paraId="30A4DFE1" w14:textId="77777777" w:rsidR="004C5D0C" w:rsidRDefault="004C5D0C" w:rsidP="004C5D0C">
      <w:pPr>
        <w:rPr>
          <w:rFonts w:ascii="Calibri Light" w:hAnsi="Calibri Light" w:cs="Calibri Light"/>
          <w:sz w:val="20"/>
          <w:szCs w:val="20"/>
          <w:lang w:val="da-DK"/>
        </w:rPr>
      </w:pPr>
    </w:p>
    <w:p w14:paraId="2F08CAAE" w14:textId="77777777" w:rsidR="004C5D0C" w:rsidRDefault="004C5D0C" w:rsidP="004C5D0C">
      <w:pPr>
        <w:rPr>
          <w:rFonts w:ascii="Calibri Light" w:hAnsi="Calibri Light" w:cs="Calibri Light"/>
          <w:sz w:val="20"/>
          <w:szCs w:val="20"/>
          <w:lang w:val="da-DK"/>
        </w:rPr>
      </w:pPr>
    </w:p>
    <w:p w14:paraId="606F3722" w14:textId="77777777" w:rsidR="004C5D0C" w:rsidRDefault="004C5D0C" w:rsidP="004C5D0C">
      <w:pPr>
        <w:rPr>
          <w:rFonts w:ascii="Calibri Light" w:hAnsi="Calibri Light" w:cs="Calibri Light"/>
          <w:sz w:val="20"/>
          <w:szCs w:val="20"/>
          <w:lang w:val="da-DK"/>
        </w:rPr>
      </w:pPr>
    </w:p>
    <w:p w14:paraId="7B8F05D7" w14:textId="77777777" w:rsidR="004C5D0C" w:rsidRDefault="004C5D0C" w:rsidP="004C5D0C">
      <w:pPr>
        <w:rPr>
          <w:rFonts w:ascii="Calibri Light" w:hAnsi="Calibri Light" w:cs="Calibri Light"/>
          <w:sz w:val="20"/>
          <w:szCs w:val="20"/>
          <w:lang w:val="da-DK"/>
        </w:rPr>
      </w:pPr>
    </w:p>
    <w:p w14:paraId="5EB82D9F" w14:textId="534E2912" w:rsidR="004C5D0C" w:rsidRDefault="004C5D0C" w:rsidP="004C5D0C">
      <w:pPr>
        <w:rPr>
          <w:rFonts w:ascii="Calibri Light" w:hAnsi="Calibri Light" w:cs="Calibri Light"/>
          <w:sz w:val="20"/>
          <w:szCs w:val="20"/>
          <w:lang w:val="da-DK"/>
        </w:rPr>
      </w:pPr>
    </w:p>
    <w:p w14:paraId="788A7067" w14:textId="72070997" w:rsidR="00754BC9" w:rsidRDefault="00754BC9" w:rsidP="004C5D0C">
      <w:pPr>
        <w:rPr>
          <w:rFonts w:ascii="Calibri Light" w:hAnsi="Calibri Light" w:cs="Calibri Light"/>
          <w:sz w:val="20"/>
          <w:szCs w:val="20"/>
          <w:lang w:val="da-DK"/>
        </w:rPr>
      </w:pPr>
    </w:p>
    <w:p w14:paraId="1307CE89" w14:textId="2D8B07CE" w:rsidR="00754BC9" w:rsidRDefault="00754BC9" w:rsidP="004C5D0C">
      <w:pPr>
        <w:rPr>
          <w:rFonts w:ascii="Calibri Light" w:hAnsi="Calibri Light" w:cs="Calibri Light"/>
          <w:sz w:val="20"/>
          <w:szCs w:val="20"/>
          <w:lang w:val="da-DK"/>
        </w:rPr>
      </w:pPr>
    </w:p>
    <w:p w14:paraId="6ABB5048" w14:textId="77777777" w:rsidR="00754BC9" w:rsidRDefault="00754BC9" w:rsidP="004C5D0C">
      <w:pPr>
        <w:rPr>
          <w:rFonts w:ascii="Calibri Light" w:hAnsi="Calibri Light" w:cs="Calibri Light"/>
          <w:sz w:val="20"/>
          <w:szCs w:val="20"/>
          <w:lang w:val="da-DK"/>
        </w:rPr>
      </w:pPr>
    </w:p>
    <w:p w14:paraId="67E4FAB6" w14:textId="290C7A2F" w:rsidR="004C5D0C" w:rsidRPr="00631B6A" w:rsidRDefault="004C5D0C" w:rsidP="004C5D0C">
      <w:pPr>
        <w:jc w:val="center"/>
        <w:rPr>
          <w:rFonts w:ascii="Verdana" w:hAnsi="Verdana" w:cs="Arial"/>
          <w:b/>
          <w:sz w:val="20"/>
          <w:szCs w:val="20"/>
          <w:lang w:val="da-DK"/>
        </w:rPr>
      </w:pPr>
      <w:r w:rsidRPr="00631B6A">
        <w:rPr>
          <w:rFonts w:ascii="Verdana" w:hAnsi="Verdana" w:cs="Arial"/>
          <w:b/>
          <w:sz w:val="20"/>
          <w:szCs w:val="20"/>
          <w:lang w:val="da-DK"/>
        </w:rPr>
        <w:t xml:space="preserve">Reumatologi og Sportsmedicin v. Speciallæge </w:t>
      </w:r>
      <w:proofErr w:type="spellStart"/>
      <w:r w:rsidRPr="00631B6A">
        <w:rPr>
          <w:rFonts w:ascii="Verdana" w:hAnsi="Verdana" w:cs="Arial"/>
          <w:b/>
          <w:sz w:val="20"/>
          <w:szCs w:val="20"/>
          <w:lang w:val="da-DK"/>
        </w:rPr>
        <w:t>Ph.D.</w:t>
      </w:r>
      <w:proofErr w:type="spellEnd"/>
      <w:r w:rsidRPr="00631B6A">
        <w:rPr>
          <w:rFonts w:ascii="Verdana" w:hAnsi="Verdana" w:cs="Arial"/>
          <w:b/>
          <w:sz w:val="20"/>
          <w:szCs w:val="20"/>
          <w:lang w:val="da-DK"/>
        </w:rPr>
        <w:t xml:space="preserve"> Lillan Tobin</w:t>
      </w:r>
    </w:p>
    <w:p w14:paraId="5672F9E6" w14:textId="77777777" w:rsidR="004C5D0C" w:rsidRPr="00631B6A" w:rsidRDefault="004C5D0C" w:rsidP="004C5D0C">
      <w:pPr>
        <w:jc w:val="center"/>
        <w:rPr>
          <w:rFonts w:ascii="Verdana" w:hAnsi="Verdana" w:cs="Arial"/>
          <w:sz w:val="20"/>
          <w:szCs w:val="20"/>
          <w:lang w:val="da-DK"/>
        </w:rPr>
      </w:pPr>
      <w:r w:rsidRPr="00631B6A">
        <w:rPr>
          <w:rFonts w:ascii="Verdana" w:hAnsi="Verdana" w:cs="Arial"/>
          <w:sz w:val="20"/>
          <w:szCs w:val="20"/>
          <w:lang w:val="da-DK"/>
        </w:rPr>
        <w:t>Peter Bangsvej 7A, 2000 Frederiksberg, tlf. 42 43 06 10, cvr. 34679436</w:t>
      </w:r>
    </w:p>
    <w:p w14:paraId="5CD0ED2F" w14:textId="31EF53F0" w:rsidR="00DB2933" w:rsidRPr="00754BC9" w:rsidRDefault="004C5D0C" w:rsidP="00754BC9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www.sports-skader.dk</w:t>
      </w:r>
    </w:p>
    <w:sectPr w:rsidR="00DB2933" w:rsidRPr="00754BC9" w:rsidSect="004530F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61"/>
    <w:rsid w:val="001A2561"/>
    <w:rsid w:val="002D266B"/>
    <w:rsid w:val="00445558"/>
    <w:rsid w:val="004530F9"/>
    <w:rsid w:val="00462235"/>
    <w:rsid w:val="004C5D0C"/>
    <w:rsid w:val="00754BC9"/>
    <w:rsid w:val="00946FDF"/>
    <w:rsid w:val="00A06B93"/>
    <w:rsid w:val="00DB2933"/>
    <w:rsid w:val="00F1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AB8DC89"/>
  <w14:defaultImageDpi w14:val="300"/>
  <w15:docId w15:val="{04254075-6347-0943-8095-789A5C2E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1A2561"/>
  </w:style>
  <w:style w:type="character" w:customStyle="1" w:styleId="normal1">
    <w:name w:val="normal1"/>
    <w:basedOn w:val="DefaultParagraphFont"/>
    <w:rsid w:val="001A2561"/>
  </w:style>
  <w:style w:type="character" w:customStyle="1" w:styleId="apple-converted-space">
    <w:name w:val="apple-converted-space"/>
    <w:basedOn w:val="DefaultParagraphFont"/>
    <w:rsid w:val="001A2561"/>
  </w:style>
  <w:style w:type="character" w:styleId="Hyperlink">
    <w:name w:val="Hyperlink"/>
    <w:basedOn w:val="DefaultParagraphFont"/>
    <w:uiPriority w:val="99"/>
    <w:semiHidden/>
    <w:unhideWhenUsed/>
    <w:rsid w:val="001A2561"/>
    <w:rPr>
      <w:color w:val="0000FF"/>
      <w:u w:val="single"/>
    </w:rPr>
  </w:style>
  <w:style w:type="character" w:customStyle="1" w:styleId="Header1">
    <w:name w:val="Header1"/>
    <w:basedOn w:val="DefaultParagraphFont"/>
    <w:rsid w:val="001A2561"/>
  </w:style>
  <w:style w:type="character" w:customStyle="1" w:styleId="small">
    <w:name w:val="small"/>
    <w:basedOn w:val="DefaultParagraphFont"/>
    <w:rsid w:val="001A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window('index.php?option=com_content&amp;view=article&amp;id=1513&amp;tmpl=component');" TargetMode="External"/><Relationship Id="rId5" Type="http://schemas.openxmlformats.org/officeDocument/2006/relationships/hyperlink" Target="http://www.sportnetdoc.dk/fod-achillessene/bristning-af-achillessenen" TargetMode="External"/><Relationship Id="rId4" Type="http://schemas.openxmlformats.org/officeDocument/2006/relationships/hyperlink" Target="javascript:openwindow('index.php?option=com_content&amp;view=article&amp;id=1507&amp;tmpl=component');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00Xs2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Lillan Tobin</dc:creator>
  <cp:keywords/>
  <dc:description/>
  <cp:lastModifiedBy>Lillan Tobin</cp:lastModifiedBy>
  <cp:revision>3</cp:revision>
  <dcterms:created xsi:type="dcterms:W3CDTF">2022-09-17T07:13:00Z</dcterms:created>
  <dcterms:modified xsi:type="dcterms:W3CDTF">2022-09-17T07:18:00Z</dcterms:modified>
</cp:coreProperties>
</file>